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08</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 could go beyond the temporal boundaries and last longer. This is because the use of foreign goods in many Indigenous societies often go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to before and after a certain foreign presence using the complete archaeological context that contains higher frequencies of time indicators instead of their first appearance in a given layer. This method is reasonable because it allows not only the flexibility of imported goods entering Indigenous societies depending on the agency of local people, but also the application of quantitative analysis to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we determined the artificial layer (mostly 10 cm) with indirect colonial impacts according to the finding of high frequency of time indicators representing the European and the Chinese period. Second, we identified the complete context (normally consists of 2-3 layers) where the layer belongs to based on the description of soil color, soil texture, and unearthed artifacts using original strategrphic data. Third, we checked if there are radiocarbon ages associated with the context as a cross validation. Since we noted that the radiocarbon ages normally represent long time ranges, the ages are not considered if they cannot provide useful information. Fourth, we examined the original fieldwork notes to identify any post-depositional issues that might affect the deposition of time indicators to ensure an appropriate assignment.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4-432</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13-486</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35-529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153-454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79-541</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343-649</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498-711</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563-950</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704-954</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683-1054</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795-1057</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857-1052</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769-1154</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801-1221</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956-1257</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967-1265</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1076-1264</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1292-1528</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1562-2082</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behaviours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indicates accumulated wealth over time instead of inherited status. Despite the data they used for making inferences are all based on burial contexts, the inferences about Kiwulan social structure are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comprehensively discuss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may be also used in their daily live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2020-07-08 11:22:20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2020-07-08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P backports        1.1.7    2020-05-13 [?]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0.5.6    2020-04-20 [2] CRAN (R 4.0.0)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1.4.1    2020-04-04 [2] CRAN (R 4.0.0)                     </w:t>
      </w:r>
      <w:r>
        <w:br/>
      </w:r>
      <w:r>
        <w:rPr>
          <w:rStyle w:val="VerbatimChar"/>
        </w:rPr>
        <w:t xml:space="preserve">#&gt;  P generics         0.0.2    2018-11-29 [?] CRAN (R 4.0.0)                     </w:t>
      </w:r>
      <w:r>
        <w:br/>
      </w:r>
      <w:r>
        <w:rPr>
          <w:rStyle w:val="VerbatimChar"/>
        </w:rPr>
        <w:t xml:space="preserve">#&gt;  P ggforce          0.3.1    2019-08-20 [?] CRAN (R 4.0.0)                     </w:t>
      </w:r>
      <w:r>
        <w:br/>
      </w:r>
      <w:r>
        <w:rPr>
          <w:rStyle w:val="VerbatimChar"/>
        </w:rPr>
        <w:t xml:space="preserve">#&gt;  P ggmap            3.0.0    2019-02-05 [?] CRAN (R 4.0.0)                     </w:t>
      </w:r>
      <w:r>
        <w:br/>
      </w:r>
      <w:r>
        <w:rPr>
          <w:rStyle w:val="VerbatimChar"/>
        </w:rPr>
        <w:t xml:space="preserve">#&gt;  P ggplot2        * 3.3.1    2020-05-28 [?]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P htmltools        0.4.0    2019-10-04 [?]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P jsonlite         1.6.1    2020-02-02 [?]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P knitr            1.28     2020-02-06 [?]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 processx         3.4.2    2020-02-09 [?]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P raster         * 3.1-5    2020-04-19 [?] CRAN (R 4.0.0)                     </w:t>
      </w:r>
      <w:r>
        <w:br/>
      </w:r>
      <w:r>
        <w:rPr>
          <w:rStyle w:val="VerbatimChar"/>
        </w:rPr>
        <w:t xml:space="preserve">#&gt;  P Rcpp             1.0.4.6  2020-04-09 [?]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P rmarkdown        2.2      2020-05-31 [?]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P sf             * 0.9-3    2020-05-04 [?]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P tibble         * 3.0.1    2020-04-20 [?]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P units            0.6-6    2020-03-16 [?]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P xfun             0.14     2020-05-20 [?]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[c960156] 2020-07-08: edit discussion section based on R3 comment</w:t>
      </w:r>
    </w:p>
    <w:p>
      <w:pPr>
        <w:pStyle w:val="FirstParagraph"/>
      </w:pPr>
      <w:r>
        <w:t xml:space="preserve">Word count: 6486</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2020-07-08T18:22:28Z</dcterms:created>
  <dcterms:modified xsi:type="dcterms:W3CDTF">2020-07-08T18:22:28Z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08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